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AA" w:rsidRPr="008D4DA7" w:rsidRDefault="008C30AA" w:rsidP="008C30AA">
      <w:pPr>
        <w:keepNext/>
        <w:outlineLvl w:val="0"/>
        <w:rPr>
          <w:b/>
          <w:szCs w:val="24"/>
        </w:rPr>
      </w:pPr>
      <w:r>
        <w:rPr>
          <w:b/>
          <w:noProof/>
          <w:sz w:val="28"/>
          <w:szCs w:val="24"/>
          <w:lang w:eastAsia="pl-PL"/>
        </w:rPr>
        <w:drawing>
          <wp:inline distT="0" distB="0" distL="0" distR="0" wp14:anchorId="71293690" wp14:editId="551F361C">
            <wp:extent cx="2219325" cy="666750"/>
            <wp:effectExtent l="0" t="0" r="9525" b="0"/>
            <wp:docPr id="2" name="Obraz 2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A7">
        <w:rPr>
          <w:b/>
          <w:szCs w:val="24"/>
        </w:rPr>
        <w:t xml:space="preserve">                                           </w:t>
      </w:r>
    </w:p>
    <w:p w:rsidR="008C30AA" w:rsidRPr="00BB7DF7" w:rsidRDefault="008C30AA" w:rsidP="008C30AA">
      <w:pPr>
        <w:keepNext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BB7DF7">
        <w:rPr>
          <w:rFonts w:ascii="Arial" w:hAnsi="Arial" w:cs="Arial"/>
          <w:b/>
          <w:color w:val="17365D" w:themeColor="text2" w:themeShade="BF"/>
          <w:sz w:val="16"/>
          <w:szCs w:val="16"/>
        </w:rPr>
        <w:t>DZIEKANAT ODDZIAŁU STOMATOLOGICZNE</w:t>
      </w:r>
      <w:r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GO                             </w:t>
      </w:r>
    </w:p>
    <w:p w:rsidR="008C30AA" w:rsidRPr="00B56867" w:rsidRDefault="008C30AA" w:rsidP="008C30AA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8C30AA" w:rsidRPr="00B56867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Nazwisko i imię studenta</w:t>
      </w: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9B56BD" w:rsidRDefault="008C30AA" w:rsidP="009B56BD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            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9B56BD" w:rsidRDefault="009B56BD" w:rsidP="009B56BD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</w:p>
    <w:p w:rsidR="009B56BD" w:rsidRPr="00B56867" w:rsidRDefault="009B56BD" w:rsidP="009B56BD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</w:p>
    <w:p w:rsidR="008C30AA" w:rsidRPr="009C4E98" w:rsidRDefault="008C30AA" w:rsidP="008C30AA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8C30AA" w:rsidRPr="009C4E98" w:rsidRDefault="008C30AA" w:rsidP="008C30AA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8C30AA" w:rsidRPr="00A81188" w:rsidRDefault="008C30AA" w:rsidP="008C3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BB7D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BB7DF7">
        <w:rPr>
          <w:rFonts w:ascii="Tahoma" w:hAnsi="Tahoma" w:cs="Tahoma"/>
          <w:b/>
          <w:color w:val="17365D" w:themeColor="text2" w:themeShade="BF"/>
        </w:rPr>
        <w:t>chirurgii ogólnej</w:t>
      </w:r>
    </w:p>
    <w:p w:rsidR="008C30AA" w:rsidRPr="00A81188" w:rsidRDefault="008C30AA" w:rsidP="008C30A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30AA" w:rsidRPr="00EB07A9" w:rsidRDefault="008C30AA" w:rsidP="008C30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8C30AA" w:rsidRPr="00414305" w:rsidRDefault="008C30AA" w:rsidP="008C3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0AA" w:rsidRPr="00414305" w:rsidRDefault="008C30AA" w:rsidP="008C3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8C30AA" w:rsidRPr="00EB07A9" w:rsidRDefault="008C30AA" w:rsidP="008C30AA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</w:t>
      </w:r>
      <w:r>
        <w:rPr>
          <w:rFonts w:ascii="Arial" w:eastAsia="Times New Roman" w:hAnsi="Arial" w:cs="Arial"/>
          <w:color w:val="17365D"/>
          <w:lang w:eastAsia="pl-PL"/>
        </w:rPr>
        <w:t>zakresie chorób wewnętrznych lub</w:t>
      </w:r>
    </w:p>
    <w:p w:rsidR="009B56BD" w:rsidRDefault="008C30AA" w:rsidP="009B56BD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6F1B8C">
        <w:rPr>
          <w:rFonts w:ascii="Arial" w:eastAsia="Times New Roman" w:hAnsi="Arial" w:cs="Arial"/>
          <w:b/>
          <w:color w:val="17365D"/>
          <w:u w:val="single"/>
          <w:lang w:eastAsia="pl-PL"/>
        </w:rPr>
        <w:t>oraz</w:t>
      </w:r>
    </w:p>
    <w:p w:rsidR="009B56BD" w:rsidRDefault="009B56BD" w:rsidP="009B56BD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u w:val="single"/>
          <w:lang w:eastAsia="pl-PL"/>
        </w:rPr>
      </w:pPr>
      <w:r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="008C30AA" w:rsidRPr="00EB07A9">
        <w:rPr>
          <w:rFonts w:ascii="Arial" w:eastAsia="Times New Roman" w:hAnsi="Arial" w:cs="Arial"/>
          <w:color w:val="17365D"/>
          <w:u w:val="single"/>
          <w:lang w:eastAsia="pl-PL"/>
        </w:rPr>
        <w:t xml:space="preserve">2 tygodnie w zakresie </w:t>
      </w:r>
      <w:r>
        <w:rPr>
          <w:rFonts w:ascii="Arial" w:eastAsia="Times New Roman" w:hAnsi="Arial" w:cs="Arial"/>
          <w:color w:val="17365D"/>
          <w:u w:val="single"/>
          <w:lang w:eastAsia="pl-PL"/>
        </w:rPr>
        <w:t xml:space="preserve">praktyki lekarsko-dentystycznej w gabinecie         </w:t>
      </w:r>
    </w:p>
    <w:p w:rsidR="008C30AA" w:rsidRPr="00EB07A9" w:rsidRDefault="009B56BD" w:rsidP="009B56BD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9B56BD">
        <w:rPr>
          <w:rFonts w:ascii="Arial" w:eastAsia="Times New Roman" w:hAnsi="Arial" w:cs="Arial"/>
          <w:color w:val="17365D"/>
          <w:lang w:eastAsia="pl-PL"/>
        </w:rPr>
        <w:t xml:space="preserve">      </w:t>
      </w:r>
      <w:r>
        <w:rPr>
          <w:rFonts w:ascii="Arial" w:eastAsia="Times New Roman" w:hAnsi="Arial" w:cs="Arial"/>
          <w:color w:val="17365D"/>
          <w:u w:val="single"/>
          <w:lang w:eastAsia="pl-PL"/>
        </w:rPr>
        <w:t xml:space="preserve"> stomatologicznym</w:t>
      </w:r>
    </w:p>
    <w:p w:rsidR="008C30AA" w:rsidRPr="00EB07A9" w:rsidRDefault="008C30AA" w:rsidP="008C30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Zaliczenie praktyk wraz z oceną poświadcza na karcie praktyk ordynator lub kierownik </w:t>
      </w:r>
      <w:r w:rsidR="009B56BD">
        <w:rPr>
          <w:rFonts w:ascii="Arial" w:hAnsi="Arial" w:cs="Arial"/>
          <w:color w:val="17365D"/>
        </w:rPr>
        <w:t>placówki ochrony zdrowia</w:t>
      </w:r>
      <w:r w:rsidRPr="00EB07A9">
        <w:rPr>
          <w:rFonts w:ascii="Arial" w:hAnsi="Arial" w:cs="Arial"/>
          <w:color w:val="17365D"/>
        </w:rPr>
        <w:t xml:space="preserve"> na podstawie obecności oraz zdobytej wiedzy i wiadomości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8C30AA" w:rsidRPr="00EB07A9" w:rsidRDefault="009B56BD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Opiekun</w:t>
      </w:r>
      <w:r w:rsidR="008C30AA" w:rsidRPr="00EB07A9">
        <w:rPr>
          <w:rFonts w:ascii="Arial" w:hAnsi="Arial" w:cs="Arial"/>
          <w:color w:val="17365D"/>
        </w:rPr>
        <w:t xml:space="preserve"> może wyrazić zgodę na odbycie praktyki w wybran</w:t>
      </w:r>
      <w:r>
        <w:rPr>
          <w:rFonts w:ascii="Arial" w:hAnsi="Arial" w:cs="Arial"/>
          <w:color w:val="17365D"/>
        </w:rPr>
        <w:t xml:space="preserve">ej </w:t>
      </w:r>
      <w:r w:rsidR="008C30AA" w:rsidRPr="00EB07A9">
        <w:rPr>
          <w:rFonts w:ascii="Arial" w:hAnsi="Arial" w:cs="Arial"/>
          <w:color w:val="17365D"/>
        </w:rPr>
        <w:t xml:space="preserve"> przez studenta </w:t>
      </w:r>
      <w:r>
        <w:rPr>
          <w:rFonts w:ascii="Arial" w:hAnsi="Arial" w:cs="Arial"/>
          <w:color w:val="17365D"/>
        </w:rPr>
        <w:t>placówce ochrony zdrowia</w:t>
      </w:r>
      <w:r w:rsidR="008C30AA" w:rsidRPr="00EB07A9">
        <w:rPr>
          <w:rFonts w:ascii="Arial" w:hAnsi="Arial" w:cs="Arial"/>
          <w:color w:val="17365D"/>
        </w:rPr>
        <w:t>, jeżeli charakter wykonywanej przez studenta pracy będzie zgodny z programem praktyk</w:t>
      </w:r>
    </w:p>
    <w:p w:rsidR="008C30AA" w:rsidRPr="00EB07A9" w:rsidRDefault="008C30AA" w:rsidP="008C30A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Nieobecność studenta na praktykach może być usprawiedliwiona jedynie zwolnieniem lekarskim. Choroba dłuższa niż </w:t>
      </w:r>
      <w:r w:rsidR="009B56BD">
        <w:rPr>
          <w:rFonts w:ascii="Arial" w:hAnsi="Arial" w:cs="Arial"/>
          <w:color w:val="17365D"/>
        </w:rPr>
        <w:t>3 dni</w:t>
      </w:r>
      <w:r w:rsidRPr="00EB07A9">
        <w:rPr>
          <w:rFonts w:ascii="Arial" w:hAnsi="Arial" w:cs="Arial"/>
          <w:color w:val="17365D"/>
        </w:rPr>
        <w:t xml:space="preserve"> powoduje konieczność przedłużenia praktyki o odpowiedni okres</w:t>
      </w:r>
    </w:p>
    <w:p w:rsidR="008C30AA" w:rsidRPr="005F10FC" w:rsidRDefault="008C30AA" w:rsidP="008C30AA">
      <w:pPr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keepNext/>
        <w:jc w:val="center"/>
        <w:outlineLvl w:val="1"/>
        <w:rPr>
          <w:rFonts w:ascii="Arial" w:hAnsi="Arial" w:cs="Arial"/>
          <w:b/>
          <w:color w:val="17365D" w:themeColor="text2" w:themeShade="BF"/>
          <w:u w:val="single"/>
        </w:rPr>
      </w:pPr>
      <w:r w:rsidRPr="005F10FC">
        <w:rPr>
          <w:rFonts w:ascii="Arial" w:hAnsi="Arial" w:cs="Arial"/>
          <w:b/>
          <w:color w:val="17365D" w:themeColor="text2" w:themeShade="BF"/>
          <w:u w:val="single"/>
        </w:rPr>
        <w:t xml:space="preserve">Organizacja praktyk w zakresie chirurgii ogólnej </w:t>
      </w:r>
    </w:p>
    <w:p w:rsidR="008C30AA" w:rsidRPr="005F10FC" w:rsidRDefault="008C30AA" w:rsidP="008C30AA">
      <w:pPr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 xml:space="preserve">            </w:t>
      </w:r>
      <w:r w:rsidRPr="005F10FC">
        <w:rPr>
          <w:rFonts w:ascii="Arial" w:hAnsi="Arial" w:cs="Arial"/>
          <w:b/>
          <w:color w:val="17365D" w:themeColor="text2" w:themeShade="BF"/>
        </w:rPr>
        <w:t>A. Cele i zadania szkolenia praktycznego</w:t>
      </w:r>
      <w:r w:rsidR="00165C2A">
        <w:rPr>
          <w:rFonts w:ascii="Arial" w:hAnsi="Arial" w:cs="Arial"/>
          <w:b/>
          <w:color w:val="17365D" w:themeColor="text2" w:themeShade="BF"/>
        </w:rPr>
        <w:t>:</w:t>
      </w:r>
      <w:r w:rsidRPr="005F10FC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Przybliżenie wybranych problemów z zakresu chirurgii ogólnej</w:t>
      </w:r>
    </w:p>
    <w:p w:rsidR="008C30AA" w:rsidRPr="005F10FC" w:rsidRDefault="008C30AA" w:rsidP="008C30AA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Zdobycie  niektórych umiejętności  w zakresie udzielenia pierwszej pomocy  przy urazach</w:t>
      </w:r>
    </w:p>
    <w:p w:rsidR="009B56BD" w:rsidRPr="005F10FC" w:rsidRDefault="009B56BD" w:rsidP="008C30AA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9B56BD" w:rsidRDefault="009B56BD" w:rsidP="008C30AA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</w:p>
    <w:p w:rsidR="008C30AA" w:rsidRPr="005F10FC" w:rsidRDefault="008C30AA" w:rsidP="008C30AA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lastRenderedPageBreak/>
        <w:t>B. Tematyka szkolenia</w:t>
      </w:r>
      <w:r w:rsidR="00165C2A">
        <w:rPr>
          <w:rFonts w:ascii="Arial" w:hAnsi="Arial" w:cs="Arial"/>
          <w:b/>
          <w:color w:val="17365D" w:themeColor="text2" w:themeShade="BF"/>
        </w:rPr>
        <w:t>: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Specyfika oddziału – zadania i rola personelu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Zasada aseptyki i antyseptyki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Przygotowanie zespołu chirurgicznego do zabiegu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Narzędzia i nici chirurgiczne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Przetaczanie krwi i preparatów krwiopochodnych</w:t>
      </w:r>
    </w:p>
    <w:p w:rsidR="009B56BD" w:rsidRPr="009B56BD" w:rsidRDefault="009B56BD" w:rsidP="009B56BD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Wstrząs - objawy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 xml:space="preserve">Rodzaje ran i </w:t>
      </w:r>
      <w:r w:rsidR="009B56BD">
        <w:rPr>
          <w:rFonts w:ascii="Arial" w:hAnsi="Arial" w:cs="Arial"/>
          <w:color w:val="17365D" w:themeColor="text2" w:themeShade="BF"/>
        </w:rPr>
        <w:t xml:space="preserve">ich </w:t>
      </w:r>
      <w:r w:rsidRPr="005F10FC">
        <w:rPr>
          <w:rFonts w:ascii="Arial" w:hAnsi="Arial" w:cs="Arial"/>
          <w:color w:val="17365D" w:themeColor="text2" w:themeShade="BF"/>
        </w:rPr>
        <w:t>gojenie</w:t>
      </w:r>
    </w:p>
    <w:p w:rsidR="008C30AA" w:rsidRPr="005F10FC" w:rsidRDefault="008C30AA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Krwawienia i krwotoki; złamania i zwichnięcia</w:t>
      </w:r>
    </w:p>
    <w:p w:rsidR="008C30AA" w:rsidRDefault="009B56BD" w:rsidP="008C30A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Rodzaje </w:t>
      </w:r>
      <w:r w:rsidR="008C30AA" w:rsidRPr="005F10FC">
        <w:rPr>
          <w:rFonts w:ascii="Arial" w:hAnsi="Arial" w:cs="Arial"/>
          <w:color w:val="17365D" w:themeColor="text2" w:themeShade="BF"/>
        </w:rPr>
        <w:t xml:space="preserve"> opatrunk</w:t>
      </w:r>
      <w:r>
        <w:rPr>
          <w:rFonts w:ascii="Arial" w:hAnsi="Arial" w:cs="Arial"/>
          <w:color w:val="17365D" w:themeColor="text2" w:themeShade="BF"/>
        </w:rPr>
        <w:t>ów</w:t>
      </w:r>
    </w:p>
    <w:p w:rsidR="009B56BD" w:rsidRPr="005F10FC" w:rsidRDefault="009B56BD" w:rsidP="009B56BD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Zakażenia w chirurgii</w:t>
      </w:r>
    </w:p>
    <w:p w:rsidR="009B56BD" w:rsidRPr="005F10FC" w:rsidRDefault="009B56BD" w:rsidP="009B56BD">
      <w:pPr>
        <w:keepNext/>
        <w:spacing w:after="0" w:line="240" w:lineRule="auto"/>
        <w:ind w:left="1080"/>
        <w:outlineLvl w:val="1"/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8C30AA" w:rsidRPr="005F10FC" w:rsidRDefault="008C30AA" w:rsidP="008C30AA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t>C.  Wykonywane czynności</w:t>
      </w:r>
      <w:r w:rsidR="00165C2A">
        <w:rPr>
          <w:rFonts w:ascii="Arial" w:hAnsi="Arial" w:cs="Arial"/>
          <w:b/>
          <w:color w:val="17365D" w:themeColor="text2" w:themeShade="BF"/>
        </w:rPr>
        <w:t>: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Obecność na odprawie i obchodach lekarskich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Uczestniczenie w zabiegach chirurgicznych</w:t>
      </w:r>
    </w:p>
    <w:p w:rsidR="008C30AA" w:rsidRPr="005F10FC" w:rsidRDefault="008C30AA" w:rsidP="008C30AA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Asystowanie przy zaopatrywaniu ran i urazów oraz zmianie opatrunków</w:t>
      </w:r>
    </w:p>
    <w:p w:rsidR="008C30AA" w:rsidRPr="00504A66" w:rsidRDefault="008C30AA" w:rsidP="008C30AA">
      <w:pPr>
        <w:rPr>
          <w:rFonts w:ascii="Arial" w:hAnsi="Arial" w:cs="Arial"/>
        </w:rPr>
      </w:pPr>
    </w:p>
    <w:p w:rsidR="008C30AA" w:rsidRPr="00B56867" w:rsidRDefault="008C30AA" w:rsidP="008C30AA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8C30AA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ascii="Arial" w:hAnsi="Arial" w:cs="Arial"/>
          <w:color w:val="17365D" w:themeColor="text2" w:themeShade="BF"/>
        </w:rPr>
        <w:t>Nazwisko i imię studenta</w:t>
      </w:r>
    </w:p>
    <w:p w:rsidR="008C30AA" w:rsidRPr="00B56867" w:rsidRDefault="008C30AA" w:rsidP="008C30AA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8C30AA" w:rsidRPr="00B56867" w:rsidRDefault="008C30AA" w:rsidP="008C30AA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          </w:t>
      </w:r>
      <w:r w:rsidRPr="00B56867">
        <w:rPr>
          <w:rFonts w:ascii="Arial" w:hAnsi="Arial" w:cs="Arial"/>
          <w:color w:val="17365D" w:themeColor="text2" w:themeShade="BF"/>
        </w:rPr>
        <w:t xml:space="preserve">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8C30AA" w:rsidRPr="00B56867" w:rsidRDefault="008C30AA" w:rsidP="008C30AA">
      <w:pPr>
        <w:ind w:left="4956" w:firstLine="708"/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8C30AA">
      <w:pPr>
        <w:rPr>
          <w:rFonts w:ascii="Arial" w:hAnsi="Arial" w:cs="Arial"/>
          <w:color w:val="17365D" w:themeColor="text2" w:themeShade="BF"/>
        </w:rPr>
      </w:pPr>
    </w:p>
    <w:p w:rsidR="008C30AA" w:rsidRPr="00B56867" w:rsidRDefault="008C30AA" w:rsidP="00165C2A">
      <w:pPr>
        <w:rPr>
          <w:rFonts w:ascii="Arial" w:hAnsi="Arial" w:cs="Arial"/>
          <w:color w:val="17365D" w:themeColor="text2" w:themeShade="BF"/>
        </w:rPr>
      </w:pPr>
      <w:bookmarkStart w:id="0" w:name="_GoBack"/>
      <w:bookmarkEnd w:id="0"/>
      <w:r w:rsidRPr="00B56867">
        <w:rPr>
          <w:rFonts w:ascii="Arial" w:hAnsi="Arial" w:cs="Arial"/>
          <w:color w:val="17365D" w:themeColor="text2" w:themeShade="BF"/>
        </w:rPr>
        <w:t xml:space="preserve"> Poświadczam odbycie praktyki na </w:t>
      </w:r>
      <w:r w:rsidR="009B56BD">
        <w:rPr>
          <w:rFonts w:ascii="Arial" w:hAnsi="Arial" w:cs="Arial"/>
          <w:color w:val="17365D" w:themeColor="text2" w:themeShade="BF"/>
        </w:rPr>
        <w:t>oddziale  chirurgii ogólnej  - 6</w:t>
      </w:r>
      <w:r w:rsidRPr="00B56867">
        <w:rPr>
          <w:rFonts w:ascii="Arial" w:hAnsi="Arial" w:cs="Arial"/>
          <w:color w:val="17365D" w:themeColor="text2" w:themeShade="BF"/>
        </w:rPr>
        <w:t>0 godz.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8C30AA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8C30AA" w:rsidRPr="005A5272" w:rsidRDefault="008C30AA" w:rsidP="008C30AA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8C30AA" w:rsidRPr="0021398E" w:rsidRDefault="008C30AA" w:rsidP="008C30AA">
      <w:pPr>
        <w:ind w:firstLine="705"/>
        <w:rPr>
          <w:sz w:val="24"/>
        </w:rPr>
      </w:pPr>
    </w:p>
    <w:p w:rsidR="008C30AA" w:rsidRPr="00504A66" w:rsidRDefault="008C30AA" w:rsidP="008C30AA">
      <w:pPr>
        <w:rPr>
          <w:rFonts w:ascii="Arial" w:hAnsi="Arial" w:cs="Arial"/>
        </w:rPr>
      </w:pPr>
    </w:p>
    <w:p w:rsidR="008C30AA" w:rsidRPr="008D4DA7" w:rsidRDefault="008C30AA" w:rsidP="008C30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C30AA" w:rsidRDefault="008C30AA" w:rsidP="008C30AA">
      <w:pPr>
        <w:keepNext/>
        <w:outlineLvl w:val="0"/>
      </w:pPr>
    </w:p>
    <w:p w:rsidR="008C30AA" w:rsidRDefault="008C30AA" w:rsidP="008C30AA"/>
    <w:p w:rsidR="008C30AA" w:rsidRDefault="008C30AA" w:rsidP="008C30AA"/>
    <w:p w:rsidR="001C74B0" w:rsidRDefault="001C74B0"/>
    <w:sectPr w:rsidR="001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FFEEFF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A"/>
    <w:rsid w:val="00165C2A"/>
    <w:rsid w:val="001C74B0"/>
    <w:rsid w:val="003D194A"/>
    <w:rsid w:val="008C30AA"/>
    <w:rsid w:val="009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dcterms:created xsi:type="dcterms:W3CDTF">2015-01-30T08:20:00Z</dcterms:created>
  <dcterms:modified xsi:type="dcterms:W3CDTF">2015-01-30T10:57:00Z</dcterms:modified>
</cp:coreProperties>
</file>